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Сводный отчет о проведении оценки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регулирующего воздействия проекта нормативного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правового акта Брянской области</w:t>
      </w:r>
    </w:p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 публичного обсуждения проекта нормативного правового акта: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начало: "31" мая 2023 года;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окончание: "19" июня 2023 года.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Общая информация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Орган исполнительной власти Брянской области (далее - разработчик):</w:t>
            </w:r>
          </w:p>
          <w:p>
            <w:pPr>
              <w:pStyle w:val="ConsPlusNormal"/>
              <w:widowControl w:val="false"/>
              <w:ind w:firstLine="504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постоянный комитет Брянской областной Думы по законодательству и местному самоуправлению </w:t>
            </w:r>
          </w:p>
          <w:p>
            <w:pPr>
              <w:pStyle w:val="ConsPlusNormal"/>
              <w:widowControl w:val="false"/>
              <w:ind w:firstLine="504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(оценка регулирующего воздействия осуществлялась департаментом образования и науки Брянской области)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Сведения об органах исполнительной власти Брянской области - соисполнителях: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Соисполнители отсутствуют.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Вид и наименование проекта нормативного правового акта:</w:t>
            </w:r>
          </w:p>
          <w:p>
            <w:pPr>
              <w:pStyle w:val="ConsPlusNormal"/>
              <w:widowControl w:val="false"/>
              <w:ind w:firstLine="504"/>
              <w:jc w:val="both"/>
              <w:rPr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Проект закона Брянской области «О внесении изменений в Закон Брянской области «Об отдельных мерах по содействию физическому, интеллектуальному, психическому, духовному и нравственному развитию детей, защите их от факторов, негативно влияющих на физическое, интеллектуальное, психическое, духовное и нравственное развитие» и отдельные законодательные акты Брянской области»</w:t>
            </w:r>
            <w:r>
              <w:rPr>
                <w:b/>
                <w:sz w:val="28"/>
                <w:szCs w:val="28"/>
              </w:rPr>
              <w:t>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 Краткое описание проблемы, на решение которой направлен предлагаемый способ регулирования: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Проект разработан в целях ограничения продажи несовершеннолетним потенциально опасных товаров бытового назначения, содержащих сжиженные углеводородные газы, и предупреждения причинения вреда здоровью несовершеннолетних, и установления ограничения розничной продажи и распространения товаров, содержащих сжиженный углеводородный газ, на территории Брянской области, а также запрета вовлечения несовершеннолетних в процесс употребления сжиженного газа и регламентирования ответственности за нарушение вышеуказанных ограничений.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8"/>
                <w:tab w:val="left" w:pos="75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 Основание для разработки проекта нормативного правового акта: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отмечается распространение такого явления, как сниффинг, при котором состояние токсического опьянения достигается путем вдыхания углеводородных сжиженных газов, входящих в состав ряда товаров хозяйственно-бытового назначения, в частности, используемых в баллончиках для заправки зажигалок или самих зажигалках, в баллончиках для работы портативных туристических газовых плит.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 Краткое описание целей предлагаемого регулирования:</w:t>
            </w:r>
          </w:p>
          <w:p>
            <w:pPr>
              <w:pStyle w:val="Style22"/>
              <w:widowControl w:val="false"/>
              <w:ind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охрана здоровья несовершеннолетних от употребления указанной продукции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 Краткое описание предлагаемого способа регулирования: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649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законопроектом предусмотрены основания, которые позволят Брянской области внести изменения в нормативные акты, ограничивающие продажу или иное распространение среди несовершеннолетних продукции, наносящей вред их здоровью.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 Контактная информация исполнителя разработчика:</w:t>
            </w:r>
          </w:p>
          <w:p>
            <w:pPr>
              <w:pStyle w:val="Style22"/>
              <w:widowControl w:val="false"/>
              <w:ind w:firstLine="907"/>
              <w:jc w:val="both"/>
              <w:rPr>
                <w:rFonts w:ascii="Times New Roman" w:hAnsi="Times New Roman" w:cs="Times New Roman"/>
                <w:b/>
                <w:b/>
                <w:kern w:val="2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Ф.И.О., должность: </w:t>
            </w: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Щербакова Оксана Николаевна, начальник отдела кадровой, правовой и организационной работы департамента образования и науки Брянской области;</w:t>
            </w:r>
          </w:p>
          <w:p>
            <w:pPr>
              <w:pStyle w:val="Style22"/>
              <w:widowControl w:val="false"/>
              <w:ind w:firstLine="907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Волохова Наталья Владимировна, ведущий консультант отдела кадровой, правовой и организационной работы департамента образования и науки Брянской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телефон, адрес электронной почты: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58-93-02, 58-04-11, </w:t>
            </w:r>
            <w:hyperlink r:id="rId2">
              <w:r>
                <w:rPr>
                  <w:rFonts w:cs="Times New Roman" w:ascii="Times New Roman" w:hAnsi="Times New Roman"/>
                  <w:b/>
                  <w:sz w:val="28"/>
                  <w:szCs w:val="28"/>
                  <w:lang w:val="en-US"/>
                </w:rPr>
                <w:t>volohova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</w:rPr>
                <w:t>@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  <w:lang w:val="en-US"/>
                </w:rPr>
                <w:t>hq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</w:rPr>
                <w:t>.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  <w:lang w:val="en-US"/>
                </w:rPr>
                <w:t>b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</w:rPr>
                <w:t>-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  <w:lang w:val="en-US"/>
                </w:rPr>
                <w:t>edu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</w:rPr>
                <w:t>.</w:t>
              </w:r>
              <w:r>
                <w:rPr>
                  <w:rFonts w:cs="Times New Roman" w:ascii="Times New Roman" w:hAnsi="Times New Roman"/>
                  <w:b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, </w:t>
            </w:r>
            <w:hyperlink r:id="rId3">
              <w:r>
                <w:rPr>
                  <w:rFonts w:cs="Times New Roman" w:ascii="Times New Roman" w:hAnsi="Times New Roman"/>
                  <w:b/>
                  <w:sz w:val="28"/>
                  <w:szCs w:val="28"/>
                  <w:shd w:fill="FFFFFF" w:val="clear"/>
                </w:rPr>
                <w:t>sherbakovaon@hq.b-edu.ru</w:t>
              </w:r>
            </w:hyperlink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 Степень регулирующего воздействия проекта</w:t>
      </w:r>
    </w:p>
    <w:p>
      <w:pPr>
        <w:pStyle w:val="ConsPlus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нормативного правового акта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  <w:p>
            <w:pPr>
              <w:pStyle w:val="Style22"/>
              <w:widowControl w:val="false"/>
              <w:ind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eastAsia="NSimSun" w:cs="Times New Roman" w:ascii="Times New Roman" w:hAnsi="Times New Roman"/>
                <w:b/>
                <w:iCs/>
                <w:color w:val="auto"/>
                <w:kern w:val="2"/>
                <w:sz w:val="28"/>
                <w:szCs w:val="28"/>
                <w:lang w:val="ru-RU" w:eastAsia="zh-CN" w:bidi="hi-IN"/>
              </w:rPr>
              <w:t>высокая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(высокая/средняя/низкая)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Обоснование отнесения проекта нормативного правового акта к определенной степени регулирующего воздействия: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68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проект нормативного правового акта содержит положения, устанавливающие ранее не предусмотренные законодательством Брянской области и иными нормативными правовыми актами ограничения продажи и распространения товаров бытового назначения, содержащих сжиженные углеводородные газы на территории Брянской области.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 Описание проблемы, на решение которой направлен</w:t>
      </w:r>
    </w:p>
    <w:p>
      <w:pPr>
        <w:pStyle w:val="ConsPlus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предлагаемый способ регулирования, оценка негативных</w:t>
      </w:r>
    </w:p>
    <w:p>
      <w:pPr>
        <w:pStyle w:val="ConsPlus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эффектов, возникающих в связи с наличием</w:t>
      </w:r>
    </w:p>
    <w:p>
      <w:pPr>
        <w:pStyle w:val="ConsPlus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рассматриваемой проблемы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>
            <w:pPr>
              <w:pStyle w:val="Style22"/>
              <w:keepNext w:val="true"/>
              <w:widowControl w:val="false"/>
              <w:ind w:firstLine="737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 отношении изделий, указанных в законопроекте, федеральным законодательством в настоящее время запрет не установлен, что способствует свободному распространению данной продукции.</w:t>
            </w:r>
          </w:p>
          <w:p>
            <w:pPr>
              <w:pStyle w:val="Style22"/>
              <w:keepNext w:val="true"/>
              <w:widowControl w:val="false"/>
              <w:ind w:firstLine="7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Данным законопроектом предлагается внести изменения в законодательство области в части установления ограничения розничной продажи и распространения потенциально опасных товаров бытового назначения, содержащих сжиженные углеводородные газы. Предлагается также установить административную ответственность за нарушение указанных ограничений.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Негативные эффекты, возникающие в связи с наличием проблемы:</w:t>
            </w:r>
          </w:p>
          <w:p>
            <w:pPr>
              <w:pStyle w:val="Style22"/>
              <w:keepNext w:val="true"/>
              <w:widowControl w:val="false"/>
              <w:ind w:firstLine="504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распространение среди несовершеннолетних продукции, наносящей вред их здоровью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>
            <w:pPr>
              <w:pStyle w:val="ConsPlusNormal"/>
              <w:widowControl w:val="false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оперативной обстановки показывает, что вдыхание углеводородных сжиженных газов все чаще фиксируется среди несовершеннолетних.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8" w:firstLine="466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нет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 Источники данных: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05"/>
              <w:jc w:val="both"/>
              <w:rPr>
                <w:rFonts w:ascii="Times New Roman" w:hAnsi="Times New Roman" w:cs="Times New Roman"/>
                <w:b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 xml:space="preserve">отчеты надзорных ведомств, средства массовой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05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 Иная информация о проблеме: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нет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 Информация о содержании в проекте нормативного правового</w:t>
      </w:r>
    </w:p>
    <w:p>
      <w:pPr>
        <w:pStyle w:val="ConsPlus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акта обязательных требований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 Наличие (отсутствие) обязательных требований:</w:t>
            </w:r>
          </w:p>
          <w:p>
            <w:pPr>
              <w:pStyle w:val="ConsPlusNormal"/>
              <w:widowControl w:val="false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установление ограничения продажи и распространения несовершеннолетним товаров, содержащих сжиженный углеводородный газ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 Содержание обязательных требований (условия, ограничения, запреты, обязанности):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right="-3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 Не допускается розничная продажа и распространение несовершеннолетним товаров, содержащих сжиженный углеводородный газ.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right="-3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 Не допускается вовлечение несовершеннолетних в процесс употребления сжиженного углеводородного газа путем покупки для них либо передачи им товаров, содержащих сжиженный углеводородный газ, а также предложения либо требования употребить сжиженный углеводородный газ.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right="-3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3. В случае возникновения у лица, непосредственно осуществляющего розничную продажу товаров, содержащих сжиженный углеводородный газ, сомнения в достижении лицом, приобретающим данные товары (покупателем), совершеннолетия, продавец вправе потребовать у покупателя документ, позволяющий установить возраст этого покупателя.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right="-3" w:hanging="0"/>
              <w:jc w:val="both"/>
              <w:rPr>
                <w:rFonts w:ascii="Times New Roman" w:hAnsi="Times New Roman" w:cs="Times New Roman"/>
                <w:b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4. Продавец обязан отказать покупателю в продаже товаров, содержащих сжиженный углеводородный газ, если в отношении покупателя имеются сомнения в достижении им совершеннолетия, а документ, удостоверяющий личность покупателя и позволяющий установить его возраст, не представлен.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 Субъекты (индивидуальные предприниматели, юридические, физические лица), обязанные соблюдать обязательные требования:</w:t>
            </w:r>
          </w:p>
          <w:p>
            <w:pPr>
              <w:pStyle w:val="ConsPlusNormal"/>
              <w:widowControl w:val="false"/>
              <w:ind w:firstLine="504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Индивидуальные предприниматели, юридические, физические лица.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4.4. Количественная оценка субъектов, обязанных соблюдать обязательные требования: 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Оценить количество не представляется возможным.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4.5. Перечень используемых объектов, к которым предъявляются обязательные требования при осуществлении деятельности, совершении действий: 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Оценить количество не представляется возможным.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 Осуществляемая деятельность (совершаемые действия), в отношении которой устанавливаются обязательные требования: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продажа и распространение несовершеннолетним товаров, содержащих сжиженный углеводородный газ;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вовлечение несовершеннолетних в процесс употребления сжиженного углеводородного газа.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 Формы оценки соблюдения обязательных требований (государственный контроль (надзор), привлечение к административной ответственности, предоставление лицензий и иных разрешений, аккредитация, оценка соответствия продукции и иные формы оценки и экспертизы):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907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Государственный контроль (надзор), привлечение к административной ответственности.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 Сведения об органах исполнительной власти Брянской области, осуществляющих оценку соблюдения обязательных требований: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8"/>
                <w:szCs w:val="28"/>
              </w:rPr>
              <w:t>Орган, осуществляющий контроль, будет определен дополнительно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5. Анализ опыта других субъектов Российской Федерации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соответствующих сферах деятельности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 Опыт других субъектов Российской Федерации в соответствующих сферах деятельности: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 Источники данных: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655"/>
              <w:jc w:val="both"/>
              <w:rPr>
                <w:rFonts w:ascii="Times New Roman" w:hAnsi="Times New Roman" w:cs="Times New Roman"/>
                <w:b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законодательство РФ, правовая система Консультант Плюс.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bookmarkStart w:id="0" w:name="Par518"/>
      <w:bookmarkEnd w:id="0"/>
      <w:r>
        <w:rPr>
          <w:sz w:val="28"/>
          <w:szCs w:val="28"/>
        </w:rPr>
        <w:t>6. Цели предлагаемого регулирования и их соответствие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принципам правового регулирования, программным документам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Президента Российской Федерации, Правительства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Федерации, Губернатора Брянской области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 Правительства Брянской области</w:t>
      </w:r>
    </w:p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 Цели предлагаемого регулирования: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91"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ar-SA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Установление ограничения продажи и распространения товаров, содержащих сжиженный углеводородный газ на территории Брянской области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 Установленные сроки достижения целей предлагаемого регулирования: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3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2023 год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области:</w:t>
            </w:r>
          </w:p>
          <w:p>
            <w:pPr>
              <w:pStyle w:val="Style22"/>
              <w:widowControl w:val="false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8"/>
                <w:szCs w:val="28"/>
              </w:rPr>
              <w:t>Защита детей от факторов, негативно влияющих на их физическое, интеллектуальное, психическое, духовное и нравственное развитие осуществляется в соответствии с Законом Брянской области от 5 августа 2009 года № 57-З (ред. от 03.02.2020) «Об отдельных мерах по содействию физическому, интеллектуальному, психическому, духовному и нравственному развитию детей, защите их от факторов,</w:t>
            </w:r>
            <w:r>
              <w:rPr>
                <w:b/>
                <w:kern w:val="2"/>
                <w:sz w:val="28"/>
                <w:szCs w:val="28"/>
              </w:rPr>
              <w:t xml:space="preserve"> негативно влияющих на физическое, интеллектуальное, психическое, духовное и нравственное развитие».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6.4. Иная информация о целях предлагаемого регулирования: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7. Описание предлагаемого регулирования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 иных возможных способов решения проблемы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 Описание предлагаемого способа решения проблемы и преодоления связанных с ней негативных эффектов:</w:t>
            </w:r>
          </w:p>
          <w:p>
            <w:pPr>
              <w:pStyle w:val="Style18"/>
              <w:widowControl w:val="false"/>
              <w:overflowPunct w:val="false"/>
              <w:spacing w:lineRule="auto" w:line="240" w:before="0" w:after="0"/>
              <w:ind w:firstLine="6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Способом решения проблемы является установление ограничения продажи и распространения несовершеннолетним товаров, содержащих сжиженный углеводородный газ, а также установление административной ответственности за нарушение указанных ограничений.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 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>
            <w:pPr>
              <w:pStyle w:val="Style22"/>
              <w:widowControl w:val="false"/>
              <w:ind w:firstLine="85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иным способом проблема не может быть устранена.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 Обоснование выбора предлагаемого способа решения проблемы: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firstLine="7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 вмешательства государства данная проблема не может быть решена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7.4. Иная информация о предлагаемом способе решения проблемы: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8. Анализ влияния социально-экономических последствий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проекта нормативного правового акта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на деятельность субъектов малого и среднего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предпринимательства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Учитывая отсутствие информации о выручке от реализации товаров, содержащих сжиженный углеводородный газ, оценить влияние социально-экономических последствий не представляется возможным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9. Анализ влияния последствий реализации проекта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нормативного правового акта на экономическое развитие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отраслей экономики и социальной сферы Брянской области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Учитывая отсутствие информации о выручке от реализации товаров, содержащих сжиженный углеводородный газ, оценить влияние социально-экономических последствий не представляется возможным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bookmarkStart w:id="1" w:name="Par559"/>
      <w:bookmarkEnd w:id="1"/>
      <w:r>
        <w:rPr>
          <w:sz w:val="28"/>
          <w:szCs w:val="28"/>
        </w:rPr>
        <w:t>10. Основные группы субъектов предпринимательской и иной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экономической деятельности, интересы которых будут затронуты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предлагаемым правовым регулированием, оценка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количества таких субъектов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10.1. Группа участников отношений: </w:t>
            </w:r>
          </w:p>
          <w:p>
            <w:pPr>
              <w:pStyle w:val="Style22"/>
              <w:widowControl w:val="false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Юридические лица и индивидуальные предприниматели, осуществляющие розничную торговлю товарами, содержащими сжиженный углеводородный газ</w:t>
            </w:r>
          </w:p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(описание иной группы участников отношений N)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10.2. Оценка количества участников отношений: 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Оценить количество не представляется возможным.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10.3. Источники данных: 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bookmarkStart w:id="2" w:name="Par572"/>
      <w:bookmarkEnd w:id="2"/>
      <w:r>
        <w:rPr>
          <w:sz w:val="28"/>
          <w:szCs w:val="28"/>
        </w:rPr>
        <w:t>11. Новые функции, полномочия, обязанности и права органов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исполнительной власти Брянской области или их изменение,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а также порядок их реализации</w:t>
      </w:r>
    </w:p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11.1. Наименование органа исполнительной власти Брянской области: 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8"/>
                <w:szCs w:val="28"/>
              </w:rPr>
              <w:t>Орган исполнительной власти будет определен дополнительно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ind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11.2. Описание новых или изменения существующих функций, полномочий, обязанностей или прав: </w:t>
            </w:r>
          </w:p>
          <w:p>
            <w:pPr>
              <w:pStyle w:val="Style22"/>
              <w:widowControl w:val="false"/>
              <w:ind w:firstLine="794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Новые функции, полномочия, обязанности и права исполнительных органов государственной власти Брянской области будут определены дополнительно.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11.3. Порядок реализации: 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8"/>
                <w:szCs w:val="28"/>
              </w:rPr>
              <w:t>Орган,</w:t>
            </w:r>
            <w:r>
              <w:rPr>
                <w:rFonts w:cs="Times New Roman"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 осуществляющий деятельность по контролю за продажей товаров, содержащих сжиженный углеводородный газ, будет определен дополнительно.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11.4. Оценка изменения трудозатрат и (или) потребностей в иных ресурсах: 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firstLine="794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Новые функции, полномочия, обязанности и права исполнительных органов государственной власти Брянской области не возникают, в связи с чем трудозатраты и потребности значительно не изменятся.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12. Оценка соответствующих расходов (возможных поступлений)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областного бюджета</w:t>
      </w:r>
    </w:p>
    <w:p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961"/>
        <w:gridCol w:w="4109"/>
      </w:tblGrid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12.1. Наименование органа исполнительной власти Брянской области: </w:t>
            </w:r>
          </w:p>
          <w:p>
            <w:pPr>
              <w:pStyle w:val="Style18"/>
              <w:widowControl w:val="false"/>
              <w:spacing w:lineRule="auto" w:line="240" w:before="0" w:after="0"/>
              <w:ind w:firstLine="850"/>
              <w:jc w:val="both"/>
              <w:rPr>
                <w:rFonts w:ascii="Times New Roman" w:hAnsi="Times New Roman" w:cs="Times New Roman"/>
                <w:b/>
                <w:b/>
                <w:color w:val="FF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8"/>
                <w:szCs w:val="28"/>
              </w:rPr>
              <w:t>Орган исполнительной власти будет определен дополнительно.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(указываются данные из </w:t>
            </w:r>
            <w:hyperlink w:anchor="Par572" w:tgtFrame="11. Новые функции, полномочия, обязанности и права органов">
              <w:r>
                <w:rPr>
                  <w:sz w:val="28"/>
                  <w:szCs w:val="28"/>
                </w:rPr>
                <w:t>раздела 11</w:t>
              </w:r>
            </w:hyperlink>
            <w:r>
              <w:rPr>
                <w:sz w:val="28"/>
                <w:szCs w:val="28"/>
              </w:rPr>
              <w:t xml:space="preserve"> сводного отчета)</w:t>
            </w:r>
          </w:p>
        </w:tc>
      </w:tr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ind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12.2. Наименование новой или изменяемой функции, полномочия, обязанности или права: </w:t>
            </w:r>
          </w:p>
          <w:p>
            <w:pPr>
              <w:pStyle w:val="Style22"/>
              <w:widowControl w:val="false"/>
              <w:ind w:firstLine="907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Новые функции, полномочия, обязанности и права исполнительных органов государственной власти Брянской области будут определены дополнительно.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(указываются данные из раздела 11 сводного отчета)</w:t>
            </w:r>
          </w:p>
        </w:tc>
      </w:tr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12.3. Описание видов расходов (возможных поступлений) областного бюджета: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 Количественная оценка расходов (возможных поступлений):</w:t>
            </w:r>
          </w:p>
        </w:tc>
      </w:tr>
      <w:tr>
        <w:trPr/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12.4.1. Единовременные расходы в год возникновения (_______ год)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расходы, поступления в областной бюджет не предусматриваются</w:t>
            </w:r>
          </w:p>
        </w:tc>
      </w:tr>
      <w:tr>
        <w:trPr/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12.4.2. Периодические расходы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период _________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расходы, поступления в областной бюджет не предусматриваются</w:t>
            </w:r>
          </w:p>
        </w:tc>
      </w:tr>
      <w:tr>
        <w:trPr/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12.4.3. Возможные поступления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год (______ год)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расходы, поступления в областной бюджет не предусматриваются</w:t>
            </w:r>
          </w:p>
        </w:tc>
      </w:tr>
      <w:tr>
        <w:trPr/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12.4.4. Возможные поступления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период ________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расходы, поступления в областной бюджет не предусматриваются</w:t>
            </w:r>
          </w:p>
        </w:tc>
      </w:tr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12.5. Иные сведения о расходах (возможных поступлениях) областного бюджета: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12.6. Источники данных: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-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bookmarkStart w:id="3" w:name="Par611"/>
      <w:bookmarkEnd w:id="3"/>
      <w:r>
        <w:rPr>
          <w:sz w:val="28"/>
          <w:szCs w:val="28"/>
        </w:rPr>
        <w:t>13. Новые обязанности или ограничения для субъектов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предпринимательской и иной экономической деятельности либо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изменение содержания существующих обязанностей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 ограничений, а также порядок организации их исполнения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13.1. Группа участников отношений: </w:t>
            </w:r>
          </w:p>
          <w:p>
            <w:pPr>
              <w:pStyle w:val="Style22"/>
              <w:widowControl w:val="false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Юридические лица и индивидуальные предприниматели, осуществляющие розничную торговлю товарами, содержащими сжиженный углеводородный газ</w:t>
            </w:r>
          </w:p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(указываются данные из </w:t>
            </w:r>
            <w:hyperlink w:anchor="Par559" w:tgtFrame="10. Основные группы субъектов предпринимательской и иной">
              <w:r>
                <w:rPr>
                  <w:sz w:val="28"/>
                  <w:szCs w:val="28"/>
                </w:rPr>
                <w:t>раздела 10</w:t>
              </w:r>
            </w:hyperlink>
            <w:r>
              <w:rPr>
                <w:sz w:val="28"/>
                <w:szCs w:val="28"/>
              </w:rPr>
              <w:t xml:space="preserve"> сводного отчета)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13.2. Описание новых или изменения содержания существующих обязанностей и ограничений: 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left="57" w:firstLine="680"/>
              <w:jc w:val="both"/>
              <w:rPr>
                <w:rFonts w:ascii="Times New Roman" w:hAnsi="Times New Roman" w:cs="Times New Roman"/>
                <w:b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Ограничения по продаже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13.3. Порядок организации исполнения обязанностей и ограничений: 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Продажа товаров, содержащих сжиженный углеводородный газ несовершеннолетним в соответствии с требованиями нормативных правовых актов Брянской области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14. Оценка расходов субъектов предпринимательской и иной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экономической деятельности, связанных с необходимостью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соблюдения установленных обязанностей или ограничений либо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изменением содержания таких обязанностей или ограничений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8"/>
                <w:tab w:val="center" w:pos="447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14.1. Группа участников отношений:</w:t>
            </w:r>
          </w:p>
          <w:p>
            <w:pPr>
              <w:pStyle w:val="Style22"/>
              <w:widowControl w:val="false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Юридические лица и индивидуальные предприниматели, осуществляющие розничную торговлю товарами, содержащими сжиженный углеводородный газ</w:t>
            </w:r>
          </w:p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(описание иной группы участников отношений N)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(указываются данные из </w:t>
            </w:r>
            <w:hyperlink w:anchor="Par559" w:tgtFrame="10. Основные группы субъектов предпринимательской и иной">
              <w:r>
                <w:rPr>
                  <w:sz w:val="28"/>
                  <w:szCs w:val="28"/>
                </w:rPr>
                <w:t>раздела 10</w:t>
              </w:r>
            </w:hyperlink>
            <w:r>
              <w:rPr>
                <w:sz w:val="28"/>
                <w:szCs w:val="28"/>
              </w:rPr>
              <w:t xml:space="preserve"> сводного отчета)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14.2. Описание новых или изменения содержания существующих обязанностей и ограничений:</w:t>
            </w:r>
          </w:p>
          <w:p>
            <w:pPr>
              <w:pStyle w:val="Normal"/>
              <w:keepNext w:val="true"/>
              <w:widowControl w:val="false"/>
              <w:spacing w:lineRule="auto" w:line="240" w:before="0" w:after="0"/>
              <w:ind w:left="57" w:firstLine="680"/>
              <w:jc w:val="both"/>
              <w:rPr>
                <w:rFonts w:ascii="Times New Roman" w:hAnsi="Times New Roman" w:cs="Times New Roman"/>
                <w:b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Ограничения по продаже и распространению несовершеннолетним товаров, содержащих сжиженный углеводородный газ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(указываются данные из </w:t>
            </w:r>
            <w:hyperlink w:anchor="Par611" w:tgtFrame="13. Новые обязанности или ограничения для субъектов">
              <w:r>
                <w:rPr>
                  <w:sz w:val="28"/>
                  <w:szCs w:val="28"/>
                </w:rPr>
                <w:t>раздела 13</w:t>
              </w:r>
            </w:hyperlink>
            <w:r>
              <w:rPr>
                <w:sz w:val="28"/>
                <w:szCs w:val="28"/>
              </w:rPr>
              <w:t xml:space="preserve"> сводного отчета)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14.3. Описание и оценка видов расходов: </w:t>
            </w:r>
          </w:p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Учитывая отсутствие информации о выручке от реализации товаров, содержащих сжиженный углеводородный газ, оценить возможные убытки не представляется возможным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14.4. Источники данных: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15. Информация об отмене обязанностей, запретов или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ограничений для субъектов предпринимательской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или иной экономической деятельности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firstLine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нет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16. Риски решения проблемы предложенным способом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регулирования и риски негативных последствий, а также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описание методов контроля эффективности избранного способа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достижения целей регулирования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16.1. Риски решения проблемы предложенным способом и риски негативных последствий:</w:t>
            </w:r>
          </w:p>
          <w:p>
            <w:pPr>
              <w:pStyle w:val="ConsPlus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(риск 1)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(риск N)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16.2. Оценки вероятности наступления рисков: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Отсутствуют</w:t>
            </w: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16.3. Методы контроля эффективности избранного способа достижения целей регулирования: </w:t>
            </w:r>
            <w:r>
              <w:rPr>
                <w:b/>
                <w:sz w:val="28"/>
                <w:szCs w:val="28"/>
              </w:rPr>
              <w:t>Отсутствуют</w:t>
            </w:r>
            <w:r>
              <w:rPr>
                <w:i/>
                <w:sz w:val="28"/>
                <w:szCs w:val="28"/>
              </w:rPr>
              <w:t>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16.4. Степень контроля рисков: </w:t>
            </w:r>
            <w:r>
              <w:rPr>
                <w:b/>
                <w:sz w:val="28"/>
                <w:szCs w:val="28"/>
              </w:rPr>
              <w:t>Отсутствуют</w:t>
            </w:r>
            <w:r>
              <w:rPr>
                <w:i/>
                <w:sz w:val="28"/>
                <w:szCs w:val="28"/>
              </w:rPr>
              <w:t>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16.5. Источники данных: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17. Предполагаемая дата вступления в силу проекта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нормативного правового акта, оценка необходимости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установления переходного периода и (или) отсрочки вступления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силу проекта нормативного правового акта либо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необходимость распространения предлагаемого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регулирования на ранее возникшие отношения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17.1. Предполагаемая дата вступления в силу проекта нормативного правового акта: </w:t>
            </w:r>
            <w:r>
              <w:rPr>
                <w:b/>
                <w:spacing w:val="-8"/>
                <w:sz w:val="28"/>
                <w:szCs w:val="28"/>
              </w:rPr>
              <w:t>с 1 сентября 2023 года.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17.2. Необходимость установления переходного периода и (или) отсрочки введения предлагаемого регулирования: </w:t>
            </w:r>
            <w:r>
              <w:rPr>
                <w:b/>
                <w:sz w:val="28"/>
                <w:szCs w:val="28"/>
              </w:rPr>
              <w:t>Нет.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17.3. Срок переходного периода (если есть необходимость):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17.4. Срок (если есть необходимость):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(дней до момента вступления в силу проекта нормативного правового акта)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17.5. Необходимость распространения предлагаемого регулирования на ранее возникшие отношения: </w:t>
            </w:r>
            <w:r>
              <w:rPr>
                <w:b/>
                <w:sz w:val="28"/>
                <w:szCs w:val="28"/>
              </w:rPr>
              <w:t>Нет.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17.6. Обоснование необходимости установления переходного периода и (или) отсрочки вступления в силу проекта нормативного правового акта либо необходимости распространения предлагаемого регулирования на ранее возникшие отношения: </w:t>
            </w: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18. Необходимые для достижения заявленных целей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регулирования организационно-технические, методологические,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информационные и иные мероприятия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18.1. Мероприятия, необходимые для достижения целей регулирования:</w:t>
            </w:r>
          </w:p>
          <w:p>
            <w:pPr>
              <w:pStyle w:val="Style22"/>
              <w:widowControl w:val="false"/>
              <w:ind w:firstLine="743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мероприятие 1: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Размещение информации об ограничении продажи и распространения несовершеннолетним товаров, содержащих сжиженный углеводородный газ, об установлении запрета вовлечения несовершеннолетних в процесс употребления сжиженного углеводородного газа.</w:t>
            </w:r>
          </w:p>
          <w:p>
            <w:pPr>
              <w:pStyle w:val="ConsPlus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N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18.2. Сроки проведения мероприятий: </w:t>
            </w:r>
            <w:r>
              <w:rPr>
                <w:b/>
                <w:sz w:val="28"/>
                <w:szCs w:val="28"/>
              </w:rPr>
              <w:t>бессрочно.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ind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18.3. Описание ожидаемого результата: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Информирование участников отношений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18.4. Объем финансирования: -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18.5. Источник финансирования: -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- 0 руб.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19. Индикативные показатели, программы мониторинга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 иные способы (методы) оценки достижения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заявленных целей регулирования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19.1. Цели предлагаемого регулирования: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91" w:firstLine="658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Охрана здоровья несовершеннолетних от потребления указанной продукции, профилактика заболеваний несовершеннолетних.</w:t>
            </w:r>
          </w:p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(указываются данные из </w:t>
            </w:r>
            <w:hyperlink w:anchor="Par518" w:tgtFrame="6. Цели предлагаемого регулирования и их соответствие">
              <w:r>
                <w:rPr>
                  <w:sz w:val="28"/>
                  <w:szCs w:val="28"/>
                </w:rPr>
                <w:t>раздела 6</w:t>
              </w:r>
            </w:hyperlink>
            <w:r>
              <w:rPr>
                <w:sz w:val="28"/>
                <w:szCs w:val="28"/>
              </w:rPr>
              <w:t xml:space="preserve"> сводного отчета)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19.2. Индикативные показатели:</w:t>
            </w:r>
          </w:p>
          <w:p>
            <w:pPr>
              <w:pStyle w:val="Style22"/>
              <w:widowControl w:val="false"/>
              <w:ind w:firstLine="85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показатель 1: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показатели не установлены.</w:t>
            </w:r>
          </w:p>
          <w:p>
            <w:pPr>
              <w:pStyle w:val="ConsPlusNormal"/>
              <w:widowControl w:val="false"/>
              <w:jc w:val="both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N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19.3. Единицы измерения индикативных показателей: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 Способы расчета индикативных показателей: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19.5. Информация о программах мониторинга и иных способах (методах) оценки достижения заявленных целей регулирования: -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19.6. Оценка затрат на осуществление мониторинга(в среднем в год):- 0 руб.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19.7. Описание источников информации для расчета индикаторов: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20. Сведения о проведении публичных консультаций по проекту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нормативного правового акта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20.1. Полный электронный адрес размещения проекта нормативного правового акта в информационно-телекоммуникационной сети "Интернет":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firstLine="615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Проект размещен на официальном сайте департамента экономического развития Брянской области (уполномоченного органа) в подразделе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«Публичные консультации по проектам НПА» (2023) раздела «Деятельность»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и доступен по ссылке: 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firstLine="615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firstLine="615"/>
              <w:jc w:val="both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Информация о размещении проекта представлена на официальном сайте департамента образования и науки Брянской области и доступна по ссылке: 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firstLine="6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20.2. Срок, в течение которого разработчиком принимались предложения в связи с проведением публичного обсуждения проекта нормативного правового акта: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начало: "31" мая 2023 г.;</w:t>
            </w:r>
          </w:p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окончание: "14</w:t>
            </w:r>
            <w:bookmarkStart w:id="4" w:name="_GoBack"/>
            <w:bookmarkEnd w:id="4"/>
            <w:r>
              <w:rPr>
                <w:sz w:val="28"/>
                <w:szCs w:val="28"/>
              </w:rPr>
              <w:t>" июня 2023 г.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20.3. Сведения об участниках публичных консультаций, извещенных о проведении публичных консультаций: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 Сведения о лицах, представивших предложения: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20.5. Сведения о структурных подразделениях разработчика, рассмотревших представленные предложения: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20.6. Иные сведения о проведении публичного обсуждения проекта нормативного правового акта: 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21. Иные сведения, которые, по мнению разработчика,</w:t>
      </w:r>
    </w:p>
    <w:p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позволяют оценить обоснованность предлагаемого регулирования</w:t>
      </w:r>
    </w:p>
    <w:p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21.1. Иные необходимые, по мнению разработчика, сведения: 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21.2. Источники данных:</w:t>
            </w:r>
          </w:p>
          <w:p>
            <w:pPr>
              <w:pStyle w:val="ConsPlus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Нет.</w:t>
            </w:r>
          </w:p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>
      <w:pPr>
        <w:pStyle w:val="ConsPlusNormal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сводка предложений с указанием сведений об их учете или причинах отклонения.</w:t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Указание (при наличии) на иные приложения -</w:t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6"/>
        <w:gridCol w:w="3652"/>
        <w:gridCol w:w="2126"/>
      </w:tblGrid>
      <w:tr>
        <w:trPr/>
        <w:tc>
          <w:tcPr>
            <w:tcW w:w="36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Врио по руководству департаментом образования и науки Брянской области</w:t>
            </w:r>
          </w:p>
        </w:tc>
        <w:tc>
          <w:tcPr>
            <w:tcW w:w="365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В.М. Ширяев</w:t>
            </w:r>
          </w:p>
        </w:tc>
      </w:tr>
    </w:tbl>
    <w:p>
      <w:pPr>
        <w:pStyle w:val="ConsPlusNormal"/>
        <w:ind w:firstLine="540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7137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unhideWhenUsed/>
    <w:rsid w:val="001d5eb6"/>
    <w:rPr>
      <w:color w:val="0000FF"/>
      <w:u w:val="single"/>
    </w:rPr>
  </w:style>
  <w:style w:type="character" w:styleId="5" w:customStyle="1">
    <w:name w:val="Основной текст (5)_"/>
    <w:link w:val="50"/>
    <w:uiPriority w:val="99"/>
    <w:qFormat/>
    <w:rsid w:val="00583800"/>
    <w:rPr>
      <w:b/>
      <w:bCs/>
      <w:spacing w:val="3"/>
      <w:sz w:val="21"/>
      <w:szCs w:val="21"/>
      <w:shd w:fill="FFFFFF" w:val="clear"/>
    </w:rPr>
  </w:style>
  <w:style w:type="character" w:styleId="Style15" w:customStyle="1">
    <w:name w:val="Основной текст Знак"/>
    <w:basedOn w:val="DefaultParagraphFont"/>
    <w:link w:val="a5"/>
    <w:qFormat/>
    <w:rsid w:val="004d5a98"/>
    <w:rPr>
      <w:rFonts w:ascii="Liberation Serif" w:hAnsi="Liberation Serif" w:eastAsia="NSimSun" w:cs="Arial"/>
      <w:kern w:val="2"/>
      <w:sz w:val="24"/>
      <w:szCs w:val="24"/>
      <w:lang w:eastAsia="zh-CN" w:bidi="hi-IN"/>
    </w:rPr>
  </w:style>
  <w:style w:type="character" w:styleId="Style16" w:customStyle="1">
    <w:name w:val="Текст сноски Знак"/>
    <w:basedOn w:val="DefaultParagraphFont"/>
    <w:link w:val="a8"/>
    <w:semiHidden/>
    <w:qFormat/>
    <w:rsid w:val="00ea3187"/>
    <w:rPr>
      <w:rFonts w:ascii="Times New Roman" w:hAnsi="Times New Roman" w:eastAsia="Calibri" w:cs="Times New Roman"/>
      <w:kern w:val="2"/>
      <w:sz w:val="20"/>
      <w:szCs w:val="20"/>
      <w:lang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50115"/>
    <w:rPr>
      <w:color w:val="605E5C"/>
      <w:shd w:fill="E1DFDD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unhideWhenUsed/>
    <w:rsid w:val="004d5a98"/>
    <w:pPr>
      <w:suppressAutoHyphens w:val="true"/>
      <w:spacing w:lineRule="auto" w:line="276" w:before="0" w:after="140"/>
    </w:pPr>
    <w:rPr>
      <w:rFonts w:ascii="Liberation Serif" w:hAnsi="Liberation Serif" w:eastAsia="NSimSun" w:cs="Arial"/>
      <w:kern w:val="2"/>
      <w:sz w:val="24"/>
      <w:szCs w:val="24"/>
      <w:lang w:eastAsia="zh-CN" w:bidi="hi-I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771379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Style22" w:customStyle="1">
    <w:name w:val="Содержимое таблицы"/>
    <w:basedOn w:val="Normal"/>
    <w:qFormat/>
    <w:rsid w:val="009e5ff3"/>
    <w:pPr>
      <w:widowControl w:val="false"/>
      <w:suppressLineNumbers/>
      <w:suppressAutoHyphens w:val="true"/>
      <w:spacing w:lineRule="auto" w:line="240" w:before="0" w:after="0"/>
    </w:pPr>
    <w:rPr>
      <w:rFonts w:ascii="Liberation Serif" w:hAnsi="Liberation Serif" w:eastAsia="NSimSun" w:cs="Arial"/>
      <w:kern w:val="2"/>
      <w:sz w:val="24"/>
      <w:szCs w:val="24"/>
      <w:lang w:eastAsia="zh-CN" w:bidi="hi-IN"/>
    </w:rPr>
  </w:style>
  <w:style w:type="paragraph" w:styleId="51" w:customStyle="1">
    <w:name w:val="Основной текст (5)"/>
    <w:basedOn w:val="Normal"/>
    <w:link w:val="5"/>
    <w:uiPriority w:val="99"/>
    <w:qFormat/>
    <w:rsid w:val="00583800"/>
    <w:pPr>
      <w:widowControl w:val="false"/>
      <w:shd w:val="clear" w:color="auto" w:fill="FFFFFF"/>
      <w:spacing w:lineRule="atLeast" w:line="240" w:before="240" w:after="240"/>
      <w:jc w:val="both"/>
    </w:pPr>
    <w:rPr>
      <w:rFonts w:eastAsia="Calibri" w:eastAsiaTheme="minorHAnsi"/>
      <w:b/>
      <w:bCs/>
      <w:spacing w:val="3"/>
      <w:sz w:val="21"/>
      <w:szCs w:val="21"/>
      <w:lang w:eastAsia="en-US"/>
    </w:rPr>
  </w:style>
  <w:style w:type="paragraph" w:styleId="ListParagraph">
    <w:name w:val="List Paragraph"/>
    <w:basedOn w:val="Normal"/>
    <w:uiPriority w:val="99"/>
    <w:qFormat/>
    <w:rsid w:val="004d5a98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Footnote Text"/>
    <w:basedOn w:val="Normal"/>
    <w:link w:val="a9"/>
    <w:semiHidden/>
    <w:unhideWhenUsed/>
    <w:rsid w:val="00ea3187"/>
    <w:pPr>
      <w:suppressAutoHyphens w:val="true"/>
      <w:spacing w:lineRule="auto" w:line="240" w:before="0" w:after="0"/>
    </w:pPr>
    <w:rPr>
      <w:rFonts w:ascii="Times New Roman" w:hAnsi="Times New Roman" w:eastAsia="Calibri" w:cs="Times New Roman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olohova@hq.b-edu.ru" TargetMode="External"/><Relationship Id="rId3" Type="http://schemas.openxmlformats.org/officeDocument/2006/relationships/hyperlink" Target="mailto:sherbakovaon@hq.b-edu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LibreOffice/7.0.4.2$Windows_X86_64 LibreOffice_project/dcf040e67528d9187c66b2379df5ea4407429775</Application>
  <AppVersion>15.0000</AppVersion>
  <Pages>14</Pages>
  <Words>2537</Words>
  <Characters>19894</Characters>
  <CharactersWithSpaces>22174</CharactersWithSpaces>
  <Paragraphs>325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2023-05-26T14:13:00Z</dcterms:created>
  <dc:creator>User</dc:creator>
  <dc:description/>
  <dc:language>ru-RU</dc:language>
  <cp:lastModifiedBy/>
  <cp:lastPrinted>2023-05-29T13:21:00Z</cp:lastPrinted>
  <dcterms:modified xsi:type="dcterms:W3CDTF">2023-05-31T09:13:10Z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